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95D1E" w:rsidRPr="00095D1E" w:rsidTr="00095D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5D1E" w:rsidRPr="00095D1E" w:rsidRDefault="00095D1E" w:rsidP="0009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m 1" descr="https://ci5.googleusercontent.com/proxy/6v0bmwJrH5HXKgMgXBdxndeGXJzbnvV-Q9kW4pdJ3e2giutbeazJEZsOlhModdlfuNFHANUkULLV-qAquu2lsJFHn458pA=s0-d-e1-ft#http://www.planalto.gov.br/ccivil_03/Brast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5.googleusercontent.com/proxy/6v0bmwJrH5HXKgMgXBdxndeGXJzbnvV-Q9kW4pdJ3e2giutbeazJEZsOlhModdlfuNFHANUkULLV-qAquu2lsJFHn458pA=s0-d-e1-ft#http://www.planalto.gov.br/ccivil_03/Brast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D1E" w:rsidRPr="00095D1E" w:rsidTr="00095D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95D1E" w:rsidRPr="00095D1E" w:rsidRDefault="00095D1E" w:rsidP="00095D1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95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MINISTÉRIO DA EDUCAÇÃO </w:t>
            </w:r>
            <w:r w:rsidRPr="00095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FUNDO NACIONAL DE DESENVOLVIMENTO DA EDUCAÇÃO </w:t>
            </w:r>
            <w:r w:rsidRPr="00095D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DIRETORIA DE GESTÃO DE FUNDOS E BENEFÍCIOS</w:t>
            </w:r>
          </w:p>
          <w:p w:rsidR="00095D1E" w:rsidRPr="00095D1E" w:rsidRDefault="00095D1E" w:rsidP="00095D1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95D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SBS Q.2, Bloco F, Edifício FNDE, 7º Andar - CEP 70.070-929 – Brasília, DF.</w:t>
            </w:r>
          </w:p>
        </w:tc>
      </w:tr>
    </w:tbl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r w:rsidRPr="00095D1E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Circular Eletrônica nº 1/2015</w:t>
      </w:r>
      <w:bookmarkEnd w:id="0"/>
      <w:r w:rsidRPr="00095D1E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 xml:space="preserve"> - PROIES/FNDE/MEC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Brasília, 12 de maio de </w:t>
      </w:r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2015</w:t>
      </w:r>
      <w:proofErr w:type="gramEnd"/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Às Entidades Mantenedoras de Instituição de Ensino Superior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Assunto</w:t>
      </w:r>
      <w:r w:rsidRPr="00095D1E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: PROIES. Pagamento de prestação mensal.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Senhor (a) Representante Legal,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Conforme é de conhecimento, em 19.9.2014 foi publicada no Diário Oficial da União (DOU) a Portaria Interministerial MF/MEC nº 376, de 18.9.2014, que dispõe sobre os procedimentos relacionados ao pagamento de prestação do parcelamento realizado no âmbito do Programa de Estimulo à Reestruturação e ao Fortalecimento das Instituições de Ensino Superior (PROIES).</w:t>
      </w:r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De acordo com a referida Portaria, o pagamento das prestações mensais mediante utilização de Certificados Financeiros do Tesouro - Série B (CFT-B), decorrentes dos encargos educacionais referentes às bolsas ocupadas no âmbito do PROIES, deve ser </w:t>
      </w:r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realizado</w:t>
      </w:r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por meio de Documento de Arrecadação de Receitas Federais (DARF) numerado, com código de barras, emitido mensalmente pela mantenedora no E-CAC da PGFN, no sítio eletrônico </w:t>
      </w:r>
      <w:hyperlink r:id="rId7" w:tgtFrame="_blank" w:history="1">
        <w:r w:rsidRPr="00095D1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www.pgfn.gov.br</w:t>
        </w:r>
      </w:hyperlink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Também, conforme disposto na mencionada Portaria, o valor do DARF não poderá ser superior a 90% do valor da prestação mensal e o pagamento deverá ser realizado por meio do módulo de “Pagamento de Tributos” do </w:t>
      </w:r>
      <w:proofErr w:type="spellStart"/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SisFIES</w:t>
      </w:r>
      <w:proofErr w:type="spellEnd"/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, no período compreendido entre o dia 12º (décimo segundo) e 15º (décimo quinto) do mês de vencimento.</w:t>
      </w: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Anteriormente à geração do DARF, a entidade mantenedora deverá consultar no </w:t>
      </w:r>
      <w:proofErr w:type="spellStart"/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SisFIES</w:t>
      </w:r>
      <w:proofErr w:type="spellEnd"/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a quantidade de CFT-B disponível para a sua emissão, pois a alteração do documento de arrecadação somente poderá ocorrer mediante atendimento presencial nas regionais da PGFN.</w:t>
      </w: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 valor remanescente da prestação mensal do parcelamento deverá ser pago na rede bancária, mediante a emissão do DARF numerado no E-CAC da PGFN.</w:t>
      </w:r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</w:r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O FNDE não se responsabilizará pelo pagamento de juros, multa, demais encargos e outras responsabilizações incidentes sobre o não pagamento de prestação do parcelamento decorrente da inobservância do prazo estabelecido para recolhimento ou </w:t>
      </w: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lastRenderedPageBreak/>
        <w:t>da recusa de sua liquidação pelo Sistema Integrado de Administração Financeira do Governo Federal (SIAFI) em decorrência de erro no preenchimento.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A íntegra da Portaria está disponível no </w:t>
      </w:r>
      <w:proofErr w:type="spell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Submenu</w:t>
      </w:r>
      <w:proofErr w:type="spell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“Legislação” do </w:t>
      </w:r>
      <w:proofErr w:type="gram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Menu</w:t>
      </w:r>
      <w:proofErr w:type="gram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“Administrativo” do </w:t>
      </w:r>
      <w:proofErr w:type="spellStart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SisFIES</w:t>
      </w:r>
      <w:proofErr w:type="spellEnd"/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.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Informações sobre o FIES poderão ser obtidas por meio da Central de Atendimento 0800 616161 ou mediante </w:t>
      </w:r>
      <w:hyperlink r:id="rId8" w:tgtFrame="_blank" w:history="1">
        <w:r w:rsidRPr="00095D1E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pt-BR"/>
          </w:rPr>
          <w:t xml:space="preserve">abertura de </w:t>
        </w:r>
        <w:proofErr w:type="gramStart"/>
        <w:r w:rsidRPr="00095D1E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pt-BR"/>
          </w:rPr>
          <w:t>demanda.</w:t>
        </w:r>
        <w:proofErr w:type="gramEnd"/>
      </w:hyperlink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Atenciosamente,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BR"/>
        </w:rPr>
        <w:t>Fundo Nacional de Desenvolvimento da Educação</w:t>
      </w: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br/>
        <w:t>Agente Operador do FIES</w:t>
      </w:r>
    </w:p>
    <w:p w:rsidR="00095D1E" w:rsidRPr="00095D1E" w:rsidRDefault="00095D1E" w:rsidP="0009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95D1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095D1E" w:rsidRPr="00095D1E" w:rsidRDefault="00095D1E" w:rsidP="00095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095D1E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 </w:t>
      </w:r>
    </w:p>
    <w:p w:rsidR="00007202" w:rsidRPr="00095D1E" w:rsidRDefault="00007202" w:rsidP="00095D1E"/>
    <w:sectPr w:rsidR="00007202" w:rsidRPr="00095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EBF"/>
    <w:multiLevelType w:val="multilevel"/>
    <w:tmpl w:val="AA24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0590D"/>
    <w:multiLevelType w:val="multilevel"/>
    <w:tmpl w:val="FB9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07202"/>
    <w:rsid w:val="00095D1E"/>
    <w:rsid w:val="00C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95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5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3CDD"/>
    <w:rPr>
      <w:b/>
      <w:bCs/>
    </w:rPr>
  </w:style>
  <w:style w:type="character" w:customStyle="1" w:styleId="apple-converted-space">
    <w:name w:val="apple-converted-space"/>
    <w:basedOn w:val="Fontepargpadro"/>
    <w:rsid w:val="00C63CDD"/>
  </w:style>
  <w:style w:type="character" w:styleId="Hyperlink">
    <w:name w:val="Hyperlink"/>
    <w:basedOn w:val="Fontepargpadro"/>
    <w:uiPriority w:val="99"/>
    <w:semiHidden/>
    <w:unhideWhenUsed/>
    <w:rsid w:val="00C63CDD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95D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95D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95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95D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3CDD"/>
    <w:rPr>
      <w:b/>
      <w:bCs/>
    </w:rPr>
  </w:style>
  <w:style w:type="character" w:customStyle="1" w:styleId="apple-converted-space">
    <w:name w:val="apple-converted-space"/>
    <w:basedOn w:val="Fontepargpadro"/>
    <w:rsid w:val="00C63CDD"/>
  </w:style>
  <w:style w:type="character" w:styleId="Hyperlink">
    <w:name w:val="Hyperlink"/>
    <w:basedOn w:val="Fontepargpadro"/>
    <w:uiPriority w:val="99"/>
    <w:semiHidden/>
    <w:unhideWhenUsed/>
    <w:rsid w:val="00C63CDD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095D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95D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.ctis.com.br/SDMCR/modulos/web/protocolo.asp?codarea=0.1.3.4&amp;codclassificacao=9022&amp;descclassificacao=Mantenedoras%2F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gfn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1</cp:revision>
  <dcterms:created xsi:type="dcterms:W3CDTF">2015-05-15T17:35:00Z</dcterms:created>
  <dcterms:modified xsi:type="dcterms:W3CDTF">2015-05-15T17:52:00Z</dcterms:modified>
</cp:coreProperties>
</file>